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4E3935">
        <w:rPr>
          <w:rFonts w:ascii="Times New Roman" w:hAnsi="Times New Roman"/>
          <w:sz w:val="28"/>
          <w:szCs w:val="28"/>
        </w:rPr>
        <w:t>606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4E3935">
        <w:rPr>
          <w:rFonts w:ascii="Times New Roman" w:hAnsi="Times New Roman"/>
          <w:sz w:val="28"/>
          <w:szCs w:val="28"/>
        </w:rPr>
        <w:t>г</w:t>
      </w:r>
      <w:proofErr w:type="gramEnd"/>
      <w:r w:rsidR="004E3935">
        <w:rPr>
          <w:rFonts w:ascii="Times New Roman" w:hAnsi="Times New Roman"/>
          <w:sz w:val="28"/>
          <w:szCs w:val="28"/>
        </w:rPr>
        <w:t xml:space="preserve">. Железногорск, садоводческое товарищество № 25, улица Вишневая, участок № 44В,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4E3935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0668-73E1-4B37-9ADF-3A6C904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2015-12-07T01:02:00Z</dcterms:created>
  <dcterms:modified xsi:type="dcterms:W3CDTF">2015-12-07T01:02:00Z</dcterms:modified>
</cp:coreProperties>
</file>