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BF" w:rsidRDefault="006E5C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 в форме опроса</w:t>
      </w:r>
    </w:p>
    <w:p w:rsidR="00B335BF" w:rsidRDefault="006E5CEE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обоснования лицензии (включая предварительные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МОКС-топлива для энергоблока №4 Белоярской АЭС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 xml:space="preserve"> реактором БН-800, ФГУП «ГХК»</w:t>
      </w:r>
    </w:p>
    <w:p w:rsidR="00B335BF" w:rsidRDefault="00B335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35BF" w:rsidRDefault="006E5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 декабря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Красноярский край, ЗАТО Железногорск,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35BF" w:rsidRDefault="006E5CE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BF" w:rsidRDefault="006E5CE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84911780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атериалы обоснования лицензии (включая предварительные материалы оценки воздействия на окружающу</w:t>
      </w:r>
      <w:r>
        <w:rPr>
          <w:rFonts w:ascii="Times New Roman" w:hAnsi="Times New Roman"/>
          <w:sz w:val="28"/>
          <w:szCs w:val="28"/>
        </w:rPr>
        <w:t>ю среду) на деятельность в области использования атомной энергии «Эксплуатация промышленного производства МОКС-топлива для энергоблока №4 Белоярской АЭС с реактором БН-800, ФГУП «ГХК»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B335BF" w:rsidRDefault="00B33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5BF" w:rsidRDefault="006E5CE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Орган местного самоуправления, ответственный за организацию обществен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 обсуждений -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ЗАТО г. Железногорск.</w:t>
      </w:r>
    </w:p>
    <w:p w:rsidR="00B335BF" w:rsidRDefault="00B335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BF" w:rsidRDefault="006E5CE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проведены на основании следующих нормативных правовых актов: </w:t>
      </w:r>
    </w:p>
    <w:p w:rsidR="00B335BF" w:rsidRDefault="006E5CEE">
      <w:pPr>
        <w:spacing w:after="0" w:line="240" w:lineRule="auto"/>
        <w:ind w:firstLine="708"/>
        <w:jc w:val="both"/>
      </w:pPr>
      <w:bookmarkStart w:id="1" w:name="_Hlk184911833"/>
      <w:r>
        <w:rPr>
          <w:rFonts w:ascii="Times New Roman" w:hAnsi="Times New Roman" w:cs="Times New Roman"/>
          <w:bCs/>
          <w:sz w:val="28"/>
          <w:szCs w:val="28"/>
        </w:rPr>
        <w:t>1) Федеральный закон от 10.01.2002 № 7-ФЗ «Об охране окружающей среды»;</w:t>
      </w:r>
    </w:p>
    <w:p w:rsidR="00B335BF" w:rsidRDefault="006E5CE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2) Федеральный закон от 23.11.1995 № 174-ФЗ </w:t>
      </w:r>
      <w:r>
        <w:rPr>
          <w:rFonts w:ascii="Times New Roman" w:hAnsi="Times New Roman" w:cs="Times New Roman"/>
          <w:bCs/>
          <w:sz w:val="28"/>
          <w:szCs w:val="28"/>
        </w:rPr>
        <w:t>«Об экологической экспертизе»;</w:t>
      </w:r>
    </w:p>
    <w:p w:rsidR="00B335BF" w:rsidRDefault="006E5CE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3) Приказ Министерства природных ресурсов и экологии Российской Федерации от 01.12.2020 года № 999 «Об утверждении требований к материалам оценки воздействия на окружающую среду»;</w:t>
      </w:r>
    </w:p>
    <w:p w:rsidR="00B335BF" w:rsidRDefault="006E5CE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4) Постановление Администрации ЗАТО г. Железн</w:t>
      </w:r>
      <w:r>
        <w:rPr>
          <w:rFonts w:ascii="Times New Roman" w:hAnsi="Times New Roman" w:cs="Times New Roman"/>
          <w:bCs/>
          <w:sz w:val="28"/>
          <w:szCs w:val="28"/>
        </w:rPr>
        <w:t>огорск № 159 от 31.01.2022 г. «Об утверждении Порядка размещения информации об организации и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материалы оценки воздействия на окружающую среду), проекта Технического задания на проведение оценки воздействия на окружающую среду»;</w:t>
      </w:r>
    </w:p>
    <w:p w:rsidR="00B335BF" w:rsidRDefault="006E5CEE">
      <w:pPr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  <w:t>5) Постановление Администрации ЗАТО г. Железногорск от 02.11.2024 № 2099</w:t>
      </w:r>
      <w:r>
        <w:rPr>
          <w:rFonts w:ascii="Times New Roman" w:hAnsi="Times New Roman"/>
          <w:bCs/>
          <w:color w:val="242021"/>
          <w:sz w:val="28"/>
          <w:szCs w:val="16"/>
        </w:rPr>
        <w:t xml:space="preserve"> «О назначении общественных обсуждений </w:t>
      </w:r>
      <w:r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ов обоснования лицензии  (включая предварительные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МОКС-топлива для </w:t>
      </w:r>
      <w:r>
        <w:rPr>
          <w:rFonts w:ascii="Times New Roman" w:hAnsi="Times New Roman"/>
          <w:sz w:val="28"/>
          <w:szCs w:val="28"/>
        </w:rPr>
        <w:lastRenderedPageBreak/>
        <w:t xml:space="preserve">энергоблока №4 Белоярской АЭС с реактором </w:t>
      </w:r>
      <w:r>
        <w:rPr>
          <w:rFonts w:ascii="Times New Roman" w:hAnsi="Times New Roman"/>
          <w:sz w:val="28"/>
          <w:szCs w:val="28"/>
        </w:rPr>
        <w:t>БН-800, ФГУП «ГХК» в форме опроса».</w:t>
      </w:r>
      <w:bookmarkEnd w:id="1"/>
    </w:p>
    <w:p w:rsidR="00B335BF" w:rsidRDefault="006E5CEE">
      <w:pPr>
        <w:pStyle w:val="a5"/>
      </w:pPr>
      <w:r>
        <w:rPr>
          <w:rFonts w:cs="Times New Roman"/>
          <w:b/>
          <w:bCs/>
          <w:szCs w:val="28"/>
        </w:rPr>
        <w:t>Цель планируемой (намечаемой) хозяйственной и иной деятельности:</w:t>
      </w:r>
      <w:r>
        <w:rPr>
          <w:rFonts w:cs="Times New Roman"/>
          <w:bCs/>
          <w:szCs w:val="28"/>
        </w:rPr>
        <w:t xml:space="preserve"> </w:t>
      </w:r>
      <w:r>
        <w:rPr>
          <w:rFonts w:eastAsia="Times New Roman" w:cs="Times New Roman"/>
          <w:szCs w:val="28"/>
        </w:rPr>
        <w:t>обеспечение смешанным уран-плутониевым топливом реакторных установок БН-800</w:t>
      </w:r>
      <w:r>
        <w:rPr>
          <w:rFonts w:cs="Times New Roman"/>
          <w:szCs w:val="28"/>
        </w:rPr>
        <w:t>.</w:t>
      </w:r>
    </w:p>
    <w:p w:rsidR="00B335BF" w:rsidRDefault="00B335BF">
      <w:pPr>
        <w:pStyle w:val="a5"/>
      </w:pPr>
    </w:p>
    <w:p w:rsidR="00B335BF" w:rsidRDefault="006E5CEE">
      <w:pPr>
        <w:tabs>
          <w:tab w:val="left" w:pos="709"/>
          <w:tab w:val="left" w:pos="993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Инициатор (Заказчик)</w:t>
      </w:r>
      <w:r>
        <w:rPr>
          <w:rFonts w:ascii="Times New Roman" w:hAnsi="Times New Roman" w:cs="Times New Roman"/>
          <w:sz w:val="28"/>
          <w:szCs w:val="28"/>
        </w:rPr>
        <w:t xml:space="preserve"> – Федеральное государственное унитарное предприятие «Горно-химический комбинат» (ФГУП «ГХК»).</w:t>
      </w:r>
    </w:p>
    <w:p w:rsidR="00B335BF" w:rsidRDefault="00B3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5BF" w:rsidRDefault="006E5CEE">
      <w:pPr>
        <w:pStyle w:val="a5"/>
      </w:pPr>
      <w:r>
        <w:rPr>
          <w:rFonts w:cs="Times New Roman"/>
          <w:b/>
          <w:szCs w:val="28"/>
        </w:rPr>
        <w:t>Предварительное место реализации планируемой (намечаемой) хозяйственной и иной деятельности: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подгорная часть промышленной площадки ФГУП «ГХК».</w:t>
      </w:r>
    </w:p>
    <w:p w:rsidR="00B335BF" w:rsidRDefault="00B335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5BF" w:rsidRDefault="006E5CE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Формулировка воп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росов, предлагаемых при проведении опроса. </w:t>
      </w:r>
    </w:p>
    <w:p w:rsidR="00B335BF" w:rsidRDefault="006E5CE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опросных листах для заинтересованной общественности были сформулированы вопросы:</w:t>
      </w:r>
    </w:p>
    <w:p w:rsidR="00B335BF" w:rsidRDefault="006E5CE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Ознакомились ли Вы с материалами обоснования лицензии (включая предварительные материалы оценки воздействия на окружающую среду) </w:t>
      </w:r>
      <w:r>
        <w:rPr>
          <w:rFonts w:ascii="Times New Roman" w:hAnsi="Times New Roman"/>
          <w:sz w:val="28"/>
          <w:szCs w:val="28"/>
        </w:rPr>
        <w:t>на деятельность в области использования атомной энергии «Эксплуатация промышленного производства МОКС-топлива для энергоблок</w:t>
      </w:r>
      <w:r>
        <w:rPr>
          <w:rFonts w:ascii="Times New Roman" w:hAnsi="Times New Roman"/>
          <w:sz w:val="28"/>
          <w:szCs w:val="28"/>
        </w:rPr>
        <w:t>а №4 Белоярской АЭС с реактором БН-800, ФГУП «ГХК»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35BF" w:rsidRDefault="006E5CEE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 Имеются ли у Вас замечания и предложения к материалам обоснования лицензии (включая предварительные материалы оценки воздействия на окружающую среду) </w:t>
      </w:r>
      <w:r>
        <w:rPr>
          <w:rFonts w:ascii="Times New Roman" w:hAnsi="Times New Roman"/>
          <w:sz w:val="28"/>
          <w:szCs w:val="28"/>
        </w:rPr>
        <w:t>на деятельность в области использования атомной эн</w:t>
      </w:r>
      <w:r>
        <w:rPr>
          <w:rFonts w:ascii="Times New Roman" w:hAnsi="Times New Roman"/>
          <w:sz w:val="28"/>
          <w:szCs w:val="28"/>
        </w:rPr>
        <w:t>ергии «Эксплуатация промышленного производства МОКС-топлива для энергоблока №4 Белоярской АЭС с реактором БН-800, ФГУП «ГХК»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35BF" w:rsidRDefault="006E5CEE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Способ информирования общественности о сроках проведения опроса, месте размещения и сбора опросных листов, в том числе в электрон</w:t>
      </w:r>
      <w:r>
        <w:rPr>
          <w:rFonts w:ascii="Times New Roman" w:hAnsi="Times New Roman" w:cs="Times New Roman"/>
          <w:b/>
          <w:sz w:val="28"/>
          <w:szCs w:val="28"/>
        </w:rPr>
        <w:t>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BF" w:rsidRDefault="006E5CE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118476412"/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в форме опроса проведены в период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19 ноября 2024 г. по 19 декабря 2024 г. </w:t>
      </w:r>
      <w:bookmarkEnd w:id="2"/>
    </w:p>
    <w:p w:rsidR="00B335BF" w:rsidRDefault="006E5CEE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размещены Уведомления о проведении общественных обсуждений м</w:t>
      </w:r>
      <w:r>
        <w:rPr>
          <w:rFonts w:ascii="Times New Roman" w:hAnsi="Times New Roman"/>
          <w:sz w:val="28"/>
          <w:szCs w:val="28"/>
        </w:rPr>
        <w:t>атериалов обоснования лицензии (включая пре</w:t>
      </w:r>
      <w:r>
        <w:rPr>
          <w:rFonts w:ascii="Times New Roman" w:hAnsi="Times New Roman"/>
          <w:sz w:val="28"/>
          <w:szCs w:val="28"/>
        </w:rPr>
        <w:t>дварительные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МОКС-топлива для энергоблока №4 Белоярской АЭС с реактором БН-800, ФГУП «ГХК»:</w:t>
      </w:r>
    </w:p>
    <w:p w:rsidR="00B335BF" w:rsidRDefault="006E5CEE">
      <w:pPr>
        <w:contextualSpacing/>
        <w:jc w:val="both"/>
        <w:rPr>
          <w:rStyle w:val="a3"/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ab/>
        <w:t>- на федеральном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уровне на официальном сайте Федеральной службы по надзору в сфере природопользования от 12.11.2024г.: </w:t>
      </w:r>
      <w:hyperlink r:id="rId7">
        <w:r>
          <w:rPr>
            <w:rStyle w:val="a3"/>
            <w:rFonts w:ascii="Times New Roman" w:hAnsi="Times New Roman" w:cs="Times New Roman"/>
            <w:sz w:val="28"/>
            <w:szCs w:val="28"/>
          </w:rPr>
          <w:t>https://rpn.gov.ru/public/111120241143112/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B335BF" w:rsidRDefault="006E5CEE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 региональном уровне на официальном сайте 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сейского межрегионального управления Росприроднадзора от 12.11.2024г.: </w:t>
      </w:r>
      <w:hyperlink r:id="rId8">
        <w:r>
          <w:rPr>
            <w:rStyle w:val="a3"/>
            <w:rFonts w:ascii="Times New Roman" w:hAnsi="Times New Roman" w:cs="Times New Roman"/>
            <w:sz w:val="28"/>
            <w:szCs w:val="28"/>
          </w:rPr>
          <w:t>https://rpn.gov.ru/regions/24/public/111120241143112-5914480.html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B335BF" w:rsidRDefault="006E5CE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официальном сайте Министерства экологии и рационального природопользования Красноярского края от 13.11.2024г.: </w:t>
      </w:r>
      <w:hyperlink r:id="rId9">
        <w:r>
          <w:rPr>
            <w:rStyle w:val="a3"/>
            <w:rFonts w:ascii="Times New Roman" w:hAnsi="Times New Roman" w:cs="Times New Roman"/>
            <w:sz w:val="28"/>
            <w:szCs w:val="28"/>
          </w:rPr>
          <w:t>http://www.mpr.krskstate.ru/page15351/page18139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5BF" w:rsidRDefault="006E5CE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 муниципальном уровне 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официальном сайте Администрации ЗАТО г. Железногорск от 13.11.2024г</w:t>
      </w: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ru-RU"/>
        </w:rPr>
        <w:t xml:space="preserve">.: </w:t>
      </w:r>
      <w:hyperlink r:id="rId10">
        <w:r>
          <w:rPr>
            <w:rStyle w:val="a3"/>
            <w:rFonts w:ascii="Times New Roman" w:hAnsi="Times New Roman" w:cs="Times New Roman"/>
            <w:sz w:val="28"/>
            <w:szCs w:val="28"/>
          </w:rPr>
          <w:t>https://www.admk26.ru/administratsiya/informatsiya/2024/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B335BF" w:rsidRDefault="006E5CE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на официальном сайте Заказчика ФГУП «ГХК» от 13.1</w:t>
      </w:r>
      <w:r>
        <w:rPr>
          <w:rFonts w:ascii="Times New Roman" w:eastAsia="Calibri" w:hAnsi="Times New Roman" w:cs="Times New Roman"/>
          <w:sz w:val="28"/>
          <w:szCs w:val="28"/>
        </w:rPr>
        <w:t xml:space="preserve">1.2024 г.: </w:t>
      </w:r>
      <w:hyperlink r:id="rId11">
        <w:r>
          <w:rPr>
            <w:rStyle w:val="a3"/>
            <w:rFonts w:ascii="Times New Roman" w:hAnsi="Times New Roman" w:cs="Times New Roman"/>
            <w:sz w:val="28"/>
            <w:szCs w:val="28"/>
          </w:rPr>
          <w:t>https://sibghk.ru/phr/index?id_category=24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B335BF" w:rsidRDefault="006E5CE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течение периода общественных обсуждений в форме опроса м</w:t>
      </w:r>
      <w:r>
        <w:rPr>
          <w:rFonts w:ascii="Times New Roman" w:hAnsi="Times New Roman"/>
          <w:sz w:val="28"/>
          <w:szCs w:val="28"/>
        </w:rPr>
        <w:t>атериалы обоснования лицензии  (включая предварительные материалы оценки воздейств</w:t>
      </w:r>
      <w:r>
        <w:rPr>
          <w:rFonts w:ascii="Times New Roman" w:hAnsi="Times New Roman"/>
          <w:sz w:val="28"/>
          <w:szCs w:val="28"/>
        </w:rPr>
        <w:t xml:space="preserve">ия на окружающую среду) на деятельность в области использования атомной энергии «Эксплуатация промышленного производства МОКС-топлива для энергоблока №4 Белоярской АЭС с реактором БН-800, ФГУП «ГХК»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опросные листы с приложением согласия на обработку пер</w:t>
      </w:r>
      <w:r>
        <w:rPr>
          <w:rFonts w:ascii="Times New Roman" w:hAnsi="Times New Roman" w:cs="Times New Roman"/>
          <w:sz w:val="28"/>
          <w:szCs w:val="28"/>
        </w:rPr>
        <w:t>сональных данных доведены до общественности и всех заинтересованных лиц на:</w:t>
      </w:r>
    </w:p>
    <w:p w:rsidR="00B335BF" w:rsidRDefault="006E5CE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официальном сайте ФГУП «ГХК» по адресу 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https://sibghk.ru/phr/index?id_category=24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B335BF" w:rsidRDefault="006E5CE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hyperlink r:id="rId13">
        <w:r>
          <w:rPr>
            <w:rStyle w:val="a3"/>
            <w:rFonts w:ascii="Times New Roman" w:hAnsi="Times New Roman" w:cs="Times New Roman"/>
            <w:sz w:val="28"/>
            <w:szCs w:val="28"/>
          </w:rPr>
          <w:t>https://www.admk26.ru/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335BF" w:rsidRDefault="006E5CEE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Администрации ЗАТО г. Железногорск по адресу: Красноярский край, ЗАТО Железногорск, город Железногорск, ул. 22 </w:t>
      </w:r>
      <w:r>
        <w:rPr>
          <w:rFonts w:cs="Times New Roman"/>
          <w:szCs w:val="28"/>
        </w:rPr>
        <w:t>партсъезда, д. 21, каб. 101-102 в рабочие дни с 10.00 до 17.00. Перерыв на обед с 12.00 до 14.00. Суббота и воскресенье - нерабочие дни.</w:t>
      </w:r>
    </w:p>
    <w:p w:rsidR="00B335BF" w:rsidRDefault="006E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>
        <w:rPr>
          <w:rFonts w:ascii="Times New Roman" w:eastAsia="Calibri" w:hAnsi="Times New Roman" w:cs="Times New Roman"/>
          <w:sz w:val="28"/>
          <w:szCs w:val="28"/>
        </w:rPr>
        <w:t>урнал учета замечаний и предложений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доступен в Администрации ЗАТО г. Железногорск по адресу: Красноярс</w:t>
      </w:r>
      <w:r>
        <w:rPr>
          <w:rFonts w:ascii="Times New Roman" w:hAnsi="Times New Roman" w:cs="Times New Roman"/>
          <w:sz w:val="28"/>
          <w:szCs w:val="28"/>
        </w:rPr>
        <w:t xml:space="preserve">кий край, ЗАТО Железногорск, город Железногорск, ул. 22 партсъезда, д. 21, каб. 101-102 в период общественных обсуждений, а также до </w:t>
      </w:r>
      <w:r>
        <w:rPr>
          <w:rFonts w:ascii="Times New Roman" w:hAnsi="Times New Roman" w:cs="Times New Roman"/>
          <w:sz w:val="28"/>
          <w:szCs w:val="28"/>
        </w:rPr>
        <w:t xml:space="preserve">09.01.2025 г. </w:t>
      </w:r>
    </w:p>
    <w:p w:rsidR="00B335BF" w:rsidRDefault="006E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Опросные листы и согласия на обработку персональных данных могли передаваться в Администрацию ЗАТО г. Желез</w:t>
      </w:r>
      <w:r>
        <w:rPr>
          <w:rFonts w:ascii="Times New Roman" w:hAnsi="Times New Roman" w:cs="Times New Roman"/>
          <w:sz w:val="28"/>
          <w:szCs w:val="28"/>
        </w:rPr>
        <w:t xml:space="preserve">ногорск по адресу: Красноярский край, ЗАТО Железногорск, город Железногорск,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22 партсъезда, д.21, каб. 101-102, а также направляться по электронной почте по адресу: </w:t>
      </w:r>
      <w:hyperlink r:id="rId14">
        <w:r>
          <w:rPr>
            <w:rFonts w:ascii="Times New Roman" w:hAnsi="Times New Roman" w:cs="Times New Roman"/>
            <w:color w:val="0F243E" w:themeColor="text2" w:themeShade="80"/>
            <w:sz w:val="28"/>
            <w:szCs w:val="28"/>
            <w:u w:val="single"/>
          </w:rPr>
          <w:t>shahina@adm.k26.ru</w:t>
        </w:r>
      </w:hyperlink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BF" w:rsidRDefault="006E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5BF" w:rsidRDefault="006E5C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полученных опр</w:t>
      </w:r>
      <w:r>
        <w:rPr>
          <w:rFonts w:ascii="Times New Roman" w:hAnsi="Times New Roman" w:cs="Times New Roman"/>
          <w:b/>
          <w:sz w:val="28"/>
          <w:szCs w:val="28"/>
        </w:rPr>
        <w:t xml:space="preserve">осных листов. </w:t>
      </w:r>
    </w:p>
    <w:p w:rsidR="00B335BF" w:rsidRDefault="006E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проведения общественных обсуждений м</w:t>
      </w:r>
      <w:r>
        <w:rPr>
          <w:rFonts w:ascii="Times New Roman" w:hAnsi="Times New Roman"/>
          <w:bCs/>
          <w:color w:val="242021"/>
          <w:sz w:val="28"/>
          <w:szCs w:val="16"/>
        </w:rPr>
        <w:t xml:space="preserve">атериалов </w:t>
      </w:r>
      <w:r>
        <w:rPr>
          <w:rFonts w:ascii="Times New Roman" w:hAnsi="Times New Roman"/>
          <w:sz w:val="28"/>
          <w:szCs w:val="28"/>
        </w:rPr>
        <w:t xml:space="preserve">обоснования лицензии  (включая предварительные материалы оценки воздействия на </w:t>
      </w:r>
      <w:r>
        <w:rPr>
          <w:rFonts w:ascii="Times New Roman" w:hAnsi="Times New Roman"/>
          <w:sz w:val="28"/>
          <w:szCs w:val="28"/>
        </w:rPr>
        <w:lastRenderedPageBreak/>
        <w:t>окружающую среду) на деятельность в области использования атомной энергии «Эксплуатация промышленного произв</w:t>
      </w:r>
      <w:r>
        <w:rPr>
          <w:rFonts w:ascii="Times New Roman" w:hAnsi="Times New Roman"/>
          <w:sz w:val="28"/>
          <w:szCs w:val="28"/>
        </w:rPr>
        <w:t xml:space="preserve">одства МОКС-топлива для энергоблока №4 Белоярской АЭС с реактором БН-800, ФГУП «ГХК» </w:t>
      </w:r>
      <w:r>
        <w:rPr>
          <w:rFonts w:ascii="Times New Roman" w:hAnsi="Times New Roman" w:cs="Times New Roman"/>
          <w:sz w:val="28"/>
          <w:szCs w:val="28"/>
        </w:rPr>
        <w:t xml:space="preserve">ознакомились и заполнили опросные </w:t>
      </w:r>
      <w:r>
        <w:rPr>
          <w:rFonts w:ascii="Times New Roman" w:hAnsi="Times New Roman" w:cs="Times New Roman"/>
          <w:sz w:val="28"/>
          <w:szCs w:val="28"/>
        </w:rPr>
        <w:t>листы 5 человек, всего 5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росных листов. </w:t>
      </w:r>
    </w:p>
    <w:p w:rsidR="00B335BF" w:rsidRDefault="00B335B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B335BF" w:rsidRDefault="006E5CEE">
      <w:pPr>
        <w:pStyle w:val="a5"/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Число опросных листов, признанных недействительными (опросные листы, в которых отсутствует </w:t>
      </w:r>
      <w:r>
        <w:rPr>
          <w:rFonts w:cs="Times New Roman"/>
          <w:b/>
          <w:szCs w:val="28"/>
        </w:rPr>
        <w:t>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</w:t>
      </w:r>
      <w:r>
        <w:rPr>
          <w:rFonts w:cs="Times New Roman"/>
          <w:szCs w:val="28"/>
        </w:rPr>
        <w:t>).</w:t>
      </w:r>
    </w:p>
    <w:p w:rsidR="00B335BF" w:rsidRDefault="006E5CEE">
      <w:pPr>
        <w:pStyle w:val="a5"/>
      </w:pPr>
      <w:r>
        <w:rPr>
          <w:color w:val="000000"/>
          <w:szCs w:val="28"/>
        </w:rPr>
        <w:t xml:space="preserve">Рабочей группой по проведению общественных обсуждений материалов </w:t>
      </w:r>
      <w:r>
        <w:rPr>
          <w:szCs w:val="28"/>
        </w:rPr>
        <w:t>обоснования лицензии  (вкл</w:t>
      </w:r>
      <w:r>
        <w:rPr>
          <w:szCs w:val="28"/>
        </w:rPr>
        <w:t>ючая предварительные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МОКС-топлива для энергоблока №4 Белоярской АЭС с реактором БН-800, ФГУП «ГХК»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опросных л</w:t>
      </w:r>
      <w:r>
        <w:rPr>
          <w:color w:val="000000"/>
          <w:szCs w:val="28"/>
        </w:rPr>
        <w:t>истов, признанных недействительными, не выявлено.</w:t>
      </w:r>
    </w:p>
    <w:p w:rsidR="00B335BF" w:rsidRDefault="00B335BF">
      <w:pPr>
        <w:pStyle w:val="a5"/>
        <w:ind w:firstLine="0"/>
        <w:rPr>
          <w:rFonts w:cs="Times New Roman"/>
          <w:b/>
          <w:szCs w:val="28"/>
        </w:rPr>
      </w:pPr>
    </w:p>
    <w:p w:rsidR="00B335BF" w:rsidRDefault="006E5CEE">
      <w:pPr>
        <w:pStyle w:val="a5"/>
        <w:ind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 </w:t>
      </w:r>
    </w:p>
    <w:p w:rsidR="00B335BF" w:rsidRDefault="00B335BF">
      <w:pPr>
        <w:pStyle w:val="a5"/>
        <w:ind w:firstLine="708"/>
        <w:rPr>
          <w:rFonts w:cs="Times New Roman"/>
          <w:b/>
          <w:szCs w:val="28"/>
        </w:rPr>
      </w:pPr>
    </w:p>
    <w:tbl>
      <w:tblPr>
        <w:tblStyle w:val="af5"/>
        <w:tblW w:w="9571" w:type="dxa"/>
        <w:tblLayout w:type="fixed"/>
        <w:tblLook w:val="04A0"/>
      </w:tblPr>
      <w:tblGrid>
        <w:gridCol w:w="691"/>
        <w:gridCol w:w="5667"/>
        <w:gridCol w:w="3213"/>
      </w:tblGrid>
      <w:tr w:rsidR="00B335BF">
        <w:tc>
          <w:tcPr>
            <w:tcW w:w="691" w:type="dxa"/>
          </w:tcPr>
          <w:p w:rsidR="00B335BF" w:rsidRDefault="006E5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:rsidR="00B335BF" w:rsidRDefault="006E5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опроса</w:t>
            </w:r>
          </w:p>
        </w:tc>
        <w:tc>
          <w:tcPr>
            <w:tcW w:w="3213" w:type="dxa"/>
          </w:tcPr>
          <w:p w:rsidR="00B335BF" w:rsidRDefault="006E5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Количество, чел.</w:t>
            </w:r>
          </w:p>
        </w:tc>
      </w:tr>
      <w:tr w:rsidR="00B335BF">
        <w:tc>
          <w:tcPr>
            <w:tcW w:w="691" w:type="dxa"/>
          </w:tcPr>
          <w:p w:rsidR="00B335BF" w:rsidRDefault="006E5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7" w:type="dxa"/>
          </w:tcPr>
          <w:p w:rsidR="00B335BF" w:rsidRDefault="006E5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накомились ли Вы с материалами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обоснования лицензии (включая предварительные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МОКС-топлива для энергоблока №4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Белоярской АЭС с реактором БН-800, ФГУП «ГХК»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13" w:type="dxa"/>
          </w:tcPr>
          <w:p w:rsidR="00B335BF" w:rsidRDefault="00B33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5BF" w:rsidRDefault="006E5C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B335BF">
        <w:tc>
          <w:tcPr>
            <w:tcW w:w="691" w:type="dxa"/>
          </w:tcPr>
          <w:p w:rsidR="00B335BF" w:rsidRDefault="006E5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7" w:type="dxa"/>
          </w:tcPr>
          <w:p w:rsidR="00B335BF" w:rsidRDefault="006E5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Имеются ли у Вас замечания и предложения к материалам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обоснования лицензии (включая предварительные материалы оценки воздействия на окружающую среду) на деятельность в области использования атомной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энергии «Эксплуатация промышленного производства МОКС-топлива для энергоблока №4 Белоярской АЭС с реактором БН-800, ФГУП «ГХК»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13" w:type="dxa"/>
          </w:tcPr>
          <w:p w:rsidR="00B335BF" w:rsidRDefault="006E5C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выявлено</w:t>
            </w:r>
          </w:p>
        </w:tc>
      </w:tr>
      <w:tr w:rsidR="00B335BF">
        <w:tc>
          <w:tcPr>
            <w:tcW w:w="691" w:type="dxa"/>
          </w:tcPr>
          <w:p w:rsidR="00B335BF" w:rsidRDefault="00B335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7" w:type="dxa"/>
          </w:tcPr>
          <w:p w:rsidR="00B335BF" w:rsidRDefault="006E5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</w:t>
            </w:r>
          </w:p>
        </w:tc>
        <w:tc>
          <w:tcPr>
            <w:tcW w:w="3213" w:type="dxa"/>
          </w:tcPr>
          <w:p w:rsidR="00B335BF" w:rsidRDefault="006E5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 «комментарии»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опроса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выразили поддержку проекту</w:t>
            </w:r>
          </w:p>
        </w:tc>
      </w:tr>
    </w:tbl>
    <w:p w:rsidR="00B335BF" w:rsidRDefault="00B335BF">
      <w:pPr>
        <w:pStyle w:val="a5"/>
        <w:ind w:firstLine="708"/>
        <w:rPr>
          <w:rFonts w:cs="Times New Roman"/>
          <w:b/>
          <w:szCs w:val="28"/>
          <w:shd w:val="clear" w:color="auto" w:fill="FFFFFF"/>
        </w:rPr>
      </w:pPr>
    </w:p>
    <w:p w:rsidR="00B335BF" w:rsidRDefault="006E5CEE">
      <w:pPr>
        <w:pStyle w:val="a5"/>
        <w:ind w:firstLine="708"/>
        <w:rPr>
          <w:rFonts w:asciiTheme="minorHAnsi" w:hAnsiTheme="minorHAnsi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 xml:space="preserve">Замечаний и предложений на опросных листах, а также в приложениях к опросным листам, не поступило, что отражено в журнале учета замечаний и предложений, являющемся неотъемлемой частью настоящего протокола. </w:t>
      </w:r>
    </w:p>
    <w:p w:rsidR="00B335BF" w:rsidRDefault="00B335BF">
      <w:pPr>
        <w:pStyle w:val="a5"/>
        <w:ind w:firstLine="0"/>
        <w:rPr>
          <w:rFonts w:cs="Times New Roman"/>
          <w:b/>
          <w:szCs w:val="28"/>
        </w:rPr>
      </w:pPr>
    </w:p>
    <w:p w:rsidR="00B335BF" w:rsidRDefault="006E5CEE">
      <w:pPr>
        <w:pStyle w:val="a5"/>
        <w:ind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Результаты общественных обсуждений.</w:t>
      </w:r>
    </w:p>
    <w:p w:rsidR="00B335BF" w:rsidRDefault="00B335BF">
      <w:pPr>
        <w:pStyle w:val="a5"/>
        <w:ind w:firstLine="708"/>
        <w:rPr>
          <w:rFonts w:cs="Times New Roman"/>
          <w:b/>
          <w:szCs w:val="28"/>
        </w:rPr>
      </w:pPr>
    </w:p>
    <w:p w:rsidR="00B335BF" w:rsidRDefault="006E5CEE">
      <w:pPr>
        <w:pStyle w:val="a5"/>
        <w:ind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РЕШИЛИ:</w:t>
      </w:r>
    </w:p>
    <w:p w:rsidR="00B335BF" w:rsidRDefault="006E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</w:t>
      </w:r>
      <w:r>
        <w:rPr>
          <w:rFonts w:ascii="Times New Roman" w:hAnsi="Times New Roman" w:cs="Times New Roman"/>
          <w:sz w:val="28"/>
          <w:szCs w:val="28"/>
        </w:rPr>
        <w:t>щественные обсуждения в форме опроса по материалам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обоснования лицензии (включая предварительные материалы оценки воздействия на окружающую среду) на деятельность в области использования атомной энергии «Эксплуатация промышленного производства МОКС-топлива для энергоблока №4 Белоярской АЭС с реактором БН-8</w:t>
      </w:r>
      <w:r>
        <w:rPr>
          <w:rFonts w:ascii="Times New Roman" w:hAnsi="Times New Roman"/>
          <w:sz w:val="28"/>
          <w:szCs w:val="28"/>
        </w:rPr>
        <w:t xml:space="preserve">00, ФГУП «ГХК» </w:t>
      </w:r>
      <w:r>
        <w:rPr>
          <w:rFonts w:ascii="Times New Roman" w:hAnsi="Times New Roman" w:cs="Times New Roman"/>
          <w:sz w:val="28"/>
          <w:szCs w:val="28"/>
        </w:rPr>
        <w:t>признать состоявшимися.</w:t>
      </w:r>
    </w:p>
    <w:p w:rsidR="00B335BF" w:rsidRDefault="00B335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242021"/>
          <w:sz w:val="28"/>
          <w:szCs w:val="28"/>
        </w:rPr>
      </w:pPr>
    </w:p>
    <w:p w:rsidR="00B335BF" w:rsidRDefault="006E5CEE">
      <w:pPr>
        <w:pStyle w:val="a5"/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Приложения:</w:t>
      </w:r>
    </w:p>
    <w:p w:rsidR="00B335BF" w:rsidRDefault="006E5CEE">
      <w:pPr>
        <w:pStyle w:val="a5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Замечания, предложения и комментарии, выявленные по объекту общественных обсуждений, дополнительные к поставленным вопросам позиции на 10 л. в 1 экз.</w:t>
      </w:r>
    </w:p>
    <w:p w:rsidR="00B335BF" w:rsidRDefault="00B335BF">
      <w:pPr>
        <w:pStyle w:val="a5"/>
        <w:ind w:firstLine="0"/>
        <w:rPr>
          <w:rFonts w:cs="Times New Roman"/>
          <w:szCs w:val="28"/>
        </w:rPr>
      </w:pPr>
    </w:p>
    <w:p w:rsidR="00B335BF" w:rsidRDefault="00B335BF">
      <w:pPr>
        <w:pStyle w:val="a5"/>
        <w:ind w:firstLine="0"/>
        <w:rPr>
          <w:rFonts w:cs="Times New Roman"/>
          <w:szCs w:val="28"/>
        </w:rPr>
      </w:pPr>
    </w:p>
    <w:p w:rsidR="00B335BF" w:rsidRDefault="00B335BF">
      <w:pPr>
        <w:pStyle w:val="a5"/>
        <w:ind w:firstLine="0"/>
        <w:rPr>
          <w:rFonts w:cs="Times New Roman"/>
          <w:szCs w:val="28"/>
        </w:rPr>
      </w:pPr>
    </w:p>
    <w:p w:rsidR="00B335BF" w:rsidRDefault="00B335BF">
      <w:pPr>
        <w:pStyle w:val="a5"/>
        <w:ind w:firstLine="0"/>
        <w:rPr>
          <w:rFonts w:cs="Times New Roman"/>
          <w:szCs w:val="28"/>
        </w:rPr>
      </w:pPr>
    </w:p>
    <w:tbl>
      <w:tblPr>
        <w:tblStyle w:val="af5"/>
        <w:tblW w:w="9214" w:type="dxa"/>
        <w:tblLayout w:type="fixed"/>
        <w:tblLook w:val="04A0"/>
      </w:tblPr>
      <w:tblGrid>
        <w:gridCol w:w="5099"/>
        <w:gridCol w:w="1816"/>
        <w:gridCol w:w="2299"/>
      </w:tblGrid>
      <w:tr w:rsidR="00B335BF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B335BF" w:rsidRDefault="006E5CEE">
            <w:pPr>
              <w:pStyle w:val="a5"/>
              <w:widowControl w:val="0"/>
              <w:ind w:firstLine="0"/>
            </w:pPr>
            <w:r>
              <w:rPr>
                <w:rFonts w:cs="Times New Roman"/>
                <w:szCs w:val="28"/>
              </w:rPr>
              <w:t>Исполняющий обязанности</w:t>
            </w:r>
          </w:p>
          <w:p w:rsidR="00B335BF" w:rsidRDefault="006E5CEE">
            <w:pPr>
              <w:pStyle w:val="a5"/>
              <w:widowControl w:val="0"/>
              <w:ind w:firstLine="0"/>
            </w:pPr>
            <w:r>
              <w:rPr>
                <w:rFonts w:cs="Times New Roman"/>
                <w:szCs w:val="28"/>
              </w:rPr>
              <w:t xml:space="preserve">Главы ЗАТО г. </w:t>
            </w:r>
            <w:r>
              <w:rPr>
                <w:rFonts w:cs="Times New Roman"/>
                <w:szCs w:val="28"/>
              </w:rPr>
              <w:t>Железногорск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B335BF" w:rsidRDefault="00B335BF">
            <w:pPr>
              <w:pStyle w:val="a5"/>
              <w:widowControl w:val="0"/>
              <w:ind w:firstLine="0"/>
              <w:rPr>
                <w:rFonts w:asciiTheme="minorHAnsi" w:hAnsiTheme="minorHAnsi"/>
                <w:szCs w:val="2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335BF" w:rsidRDefault="006E5CEE">
            <w:pPr>
              <w:pStyle w:val="a5"/>
              <w:widowControl w:val="0"/>
              <w:ind w:firstLine="0"/>
            </w:pPr>
            <w:r>
              <w:rPr>
                <w:rFonts w:cs="Times New Roman"/>
                <w:szCs w:val="28"/>
              </w:rPr>
              <w:t>Р.И. Вычужанин</w:t>
            </w:r>
          </w:p>
        </w:tc>
      </w:tr>
    </w:tbl>
    <w:p w:rsidR="00B335BF" w:rsidRDefault="00B335BF">
      <w:pPr>
        <w:pStyle w:val="a5"/>
        <w:ind w:firstLine="0"/>
        <w:rPr>
          <w:rFonts w:cs="Times New Roman"/>
          <w:szCs w:val="28"/>
        </w:rPr>
      </w:pPr>
    </w:p>
    <w:p w:rsidR="00B335BF" w:rsidRDefault="00B335BF">
      <w:pPr>
        <w:pStyle w:val="a5"/>
        <w:ind w:firstLine="0"/>
        <w:rPr>
          <w:rFonts w:cs="Times New Roman"/>
          <w:szCs w:val="28"/>
        </w:rPr>
      </w:pPr>
    </w:p>
    <w:tbl>
      <w:tblPr>
        <w:tblStyle w:val="af5"/>
        <w:tblW w:w="9345" w:type="dxa"/>
        <w:tblLayout w:type="fixed"/>
        <w:tblLook w:val="04A0"/>
      </w:tblPr>
      <w:tblGrid>
        <w:gridCol w:w="5103"/>
        <w:gridCol w:w="1985"/>
        <w:gridCol w:w="2257"/>
      </w:tblGrid>
      <w:tr w:rsidR="00B335B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35BF" w:rsidRDefault="006E5CEE">
            <w:pPr>
              <w:pStyle w:val="a5"/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Главный инженер ФГУП «ГХК»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35BF" w:rsidRDefault="00B335BF">
            <w:pPr>
              <w:pStyle w:val="a5"/>
              <w:widowControl w:val="0"/>
              <w:ind w:firstLine="0"/>
              <w:rPr>
                <w:szCs w:val="2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B335BF" w:rsidRDefault="006E5CEE">
            <w:pPr>
              <w:pStyle w:val="a5"/>
              <w:widowControl w:val="0"/>
              <w:ind w:firstLine="0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А.Ю. Холомеев</w:t>
            </w:r>
          </w:p>
          <w:p w:rsidR="00B335BF" w:rsidRDefault="00B335BF">
            <w:pPr>
              <w:pStyle w:val="a5"/>
              <w:widowControl w:val="0"/>
              <w:ind w:firstLine="0"/>
              <w:rPr>
                <w:szCs w:val="28"/>
              </w:rPr>
            </w:pPr>
          </w:p>
        </w:tc>
      </w:tr>
    </w:tbl>
    <w:p w:rsidR="00B335BF" w:rsidRDefault="00B335BF">
      <w:pPr>
        <w:pStyle w:val="a5"/>
        <w:ind w:firstLine="0"/>
        <w:rPr>
          <w:rFonts w:cs="Times New Roman"/>
          <w:szCs w:val="28"/>
        </w:rPr>
      </w:pPr>
    </w:p>
    <w:sectPr w:rsidR="00B335BF" w:rsidSect="00B335BF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EE" w:rsidRDefault="006E5CEE" w:rsidP="00B335BF">
      <w:pPr>
        <w:spacing w:after="0" w:line="240" w:lineRule="auto"/>
      </w:pPr>
      <w:r>
        <w:separator/>
      </w:r>
    </w:p>
  </w:endnote>
  <w:endnote w:type="continuationSeparator" w:id="0">
    <w:p w:rsidR="006E5CEE" w:rsidRDefault="006E5CEE" w:rsidP="00B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554636"/>
      <w:docPartObj>
        <w:docPartGallery w:val="Page Numbers (Bottom of Page)"/>
        <w:docPartUnique/>
      </w:docPartObj>
    </w:sdtPr>
    <w:sdtContent>
      <w:p w:rsidR="00B335BF" w:rsidRDefault="00B335BF">
        <w:pPr>
          <w:pStyle w:val="Footer"/>
          <w:jc w:val="right"/>
        </w:pPr>
        <w:r>
          <w:fldChar w:fldCharType="begin"/>
        </w:r>
        <w:r w:rsidR="006E5CEE">
          <w:instrText xml:space="preserve"> PAGE </w:instrText>
        </w:r>
        <w:r>
          <w:fldChar w:fldCharType="separate"/>
        </w:r>
        <w:r w:rsidR="009B184E">
          <w:rPr>
            <w:noProof/>
          </w:rPr>
          <w:t>2</w:t>
        </w:r>
        <w:r>
          <w:fldChar w:fldCharType="end"/>
        </w:r>
      </w:p>
    </w:sdtContent>
  </w:sdt>
  <w:p w:rsidR="00B335BF" w:rsidRDefault="00B335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EE" w:rsidRDefault="006E5CEE" w:rsidP="00B335BF">
      <w:pPr>
        <w:spacing w:after="0" w:line="240" w:lineRule="auto"/>
      </w:pPr>
      <w:r>
        <w:separator/>
      </w:r>
    </w:p>
  </w:footnote>
  <w:footnote w:type="continuationSeparator" w:id="0">
    <w:p w:rsidR="006E5CEE" w:rsidRDefault="006E5CEE" w:rsidP="00B33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5BF"/>
    <w:rsid w:val="006E5CEE"/>
    <w:rsid w:val="009B184E"/>
    <w:rsid w:val="00B3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302"/>
    <w:rPr>
      <w:color w:val="0000FF" w:themeColor="hyperlink"/>
      <w:u w:val="single"/>
    </w:rPr>
  </w:style>
  <w:style w:type="character" w:customStyle="1" w:styleId="a4">
    <w:name w:val="Текст документа Знак"/>
    <w:basedOn w:val="a0"/>
    <w:link w:val="a5"/>
    <w:qFormat/>
    <w:rsid w:val="00B944E5"/>
    <w:rPr>
      <w:rFonts w:ascii="Times New Roman" w:hAnsi="Times New Roman"/>
      <w:sz w:val="28"/>
      <w:szCs w:val="24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F32DA0"/>
    <w:rPr>
      <w:rFonts w:ascii="Times New Roman" w:hAnsi="Times New Roman"/>
      <w:sz w:val="28"/>
      <w:szCs w:val="24"/>
      <w:lang w:val="en-GB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30443D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4A2455"/>
    <w:rPr>
      <w:i/>
      <w:iCs/>
      <w:color w:val="404040" w:themeColor="text1" w:themeTint="BF"/>
    </w:rPr>
  </w:style>
  <w:style w:type="character" w:customStyle="1" w:styleId="aa">
    <w:name w:val="Нижний колонтитул Знак"/>
    <w:basedOn w:val="a0"/>
    <w:link w:val="Footer"/>
    <w:uiPriority w:val="99"/>
    <w:qFormat/>
    <w:rsid w:val="00FA4F0A"/>
  </w:style>
  <w:style w:type="character" w:customStyle="1" w:styleId="UnresolvedMention">
    <w:name w:val="Unresolved Mention"/>
    <w:basedOn w:val="a0"/>
    <w:uiPriority w:val="99"/>
    <w:semiHidden/>
    <w:unhideWhenUsed/>
    <w:qFormat/>
    <w:rsid w:val="00243B05"/>
    <w:rPr>
      <w:color w:val="605E5C"/>
      <w:shd w:val="clear" w:color="auto" w:fill="E1DFDD"/>
    </w:rPr>
  </w:style>
  <w:style w:type="paragraph" w:customStyle="1" w:styleId="ab">
    <w:name w:val="Заголовок"/>
    <w:basedOn w:val="a"/>
    <w:next w:val="ac"/>
    <w:qFormat/>
    <w:rsid w:val="00B335B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B335BF"/>
    <w:pPr>
      <w:spacing w:after="140"/>
    </w:pPr>
  </w:style>
  <w:style w:type="paragraph" w:styleId="ad">
    <w:name w:val="List"/>
    <w:basedOn w:val="ac"/>
    <w:rsid w:val="00B335B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335B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B335BF"/>
    <w:pPr>
      <w:suppressLineNumbers/>
    </w:pPr>
    <w:rPr>
      <w:rFonts w:ascii="PT Astra Serif" w:hAnsi="PT Astra Serif" w:cs="Noto Sans Devanagari"/>
    </w:rPr>
  </w:style>
  <w:style w:type="paragraph" w:styleId="af">
    <w:name w:val="Title"/>
    <w:basedOn w:val="a"/>
    <w:next w:val="ac"/>
    <w:qFormat/>
    <w:rsid w:val="00B335B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caption"/>
    <w:basedOn w:val="a"/>
    <w:qFormat/>
    <w:rsid w:val="00B335B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5">
    <w:name w:val="Текст документа"/>
    <w:basedOn w:val="a"/>
    <w:link w:val="a4"/>
    <w:qFormat/>
    <w:rsid w:val="00B944E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1">
    <w:name w:val="Колонтитул"/>
    <w:basedOn w:val="a"/>
    <w:qFormat/>
    <w:rsid w:val="00B335BF"/>
  </w:style>
  <w:style w:type="paragraph" w:customStyle="1" w:styleId="af2">
    <w:name w:val="Верхний и нижний колонтитулы"/>
    <w:basedOn w:val="a"/>
    <w:qFormat/>
    <w:rsid w:val="00B335BF"/>
  </w:style>
  <w:style w:type="paragraph" w:customStyle="1" w:styleId="Header">
    <w:name w:val="Header"/>
    <w:basedOn w:val="a"/>
    <w:link w:val="a6"/>
    <w:uiPriority w:val="99"/>
    <w:unhideWhenUsed/>
    <w:rsid w:val="00F32DA0"/>
    <w:pPr>
      <w:tabs>
        <w:tab w:val="center" w:pos="4677"/>
        <w:tab w:val="right" w:pos="9355"/>
      </w:tabs>
      <w:spacing w:after="0" w:line="240" w:lineRule="auto"/>
      <w:ind w:left="57" w:firstLine="454"/>
      <w:jc w:val="both"/>
    </w:pPr>
    <w:rPr>
      <w:rFonts w:ascii="Times New Roman" w:hAnsi="Times New Roman"/>
      <w:sz w:val="28"/>
      <w:szCs w:val="24"/>
      <w:lang w:val="en-GB"/>
    </w:rPr>
  </w:style>
  <w:style w:type="paragraph" w:styleId="a8">
    <w:name w:val="Balloon Text"/>
    <w:basedOn w:val="a"/>
    <w:link w:val="a7"/>
    <w:uiPriority w:val="99"/>
    <w:semiHidden/>
    <w:unhideWhenUsed/>
    <w:qFormat/>
    <w:rsid w:val="003044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qFormat/>
    <w:rsid w:val="004F45E7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a"/>
    <w:uiPriority w:val="99"/>
    <w:unhideWhenUsed/>
    <w:rsid w:val="00FA4F0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6B1FCF"/>
    <w:pPr>
      <w:ind w:left="720"/>
      <w:contextualSpacing/>
    </w:pPr>
  </w:style>
  <w:style w:type="table" w:styleId="af5">
    <w:name w:val="Table Grid"/>
    <w:basedOn w:val="a1"/>
    <w:uiPriority w:val="59"/>
    <w:rsid w:val="00C80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regions/24/public/111120241143112-5914480.html" TargetMode="External"/><Relationship Id="rId13" Type="http://schemas.openxmlformats.org/officeDocument/2006/relationships/hyperlink" Target="https://www.admk2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n.gov.ru/public/111120241143112/" TargetMode="External"/><Relationship Id="rId12" Type="http://schemas.openxmlformats.org/officeDocument/2006/relationships/hyperlink" Target="https://sibghk.ru/phr/index?id_category=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bghk.ru/phr/index?id_category=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dmk26.ru/administratsiya/informatsiya/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r.krskstate.ru/page15351/page18139" TargetMode="External"/><Relationship Id="rId14" Type="http://schemas.openxmlformats.org/officeDocument/2006/relationships/hyperlink" Target="mailto:shahina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29755-46B6-4582-A9A4-3604D980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Tiholaz</cp:lastModifiedBy>
  <cp:revision>2</cp:revision>
  <cp:lastPrinted>2023-09-22T06:48:00Z</cp:lastPrinted>
  <dcterms:created xsi:type="dcterms:W3CDTF">2024-12-27T08:01:00Z</dcterms:created>
  <dcterms:modified xsi:type="dcterms:W3CDTF">2024-12-27T08:01:00Z</dcterms:modified>
  <dc:language>ru-RU</dc:language>
</cp:coreProperties>
</file>